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Default="00DC4C91" w:rsidP="000B01A4">
      <w:pPr>
        <w:pStyle w:val="ListParagraph"/>
        <w:numPr>
          <w:ilvl w:val="0"/>
          <w:numId w:val="1"/>
        </w:numPr>
        <w:spacing w:after="0"/>
      </w:pPr>
      <w:r>
        <w:t>Working group n</w:t>
      </w:r>
      <w:r w:rsidR="000B01A4" w:rsidRPr="003110FB">
        <w:t>ame:</w:t>
      </w:r>
    </w:p>
    <w:p w14:paraId="53F2636E" w14:textId="77777777" w:rsidR="00F40C9B" w:rsidRPr="003110FB" w:rsidRDefault="00F40C9B" w:rsidP="00F40C9B">
      <w:pPr>
        <w:pStyle w:val="ListParagraph"/>
        <w:spacing w:after="0"/>
      </w:pPr>
    </w:p>
    <w:p w14:paraId="007881C2" w14:textId="67E3D71D" w:rsidR="000B01A4" w:rsidRPr="00F40C9B" w:rsidRDefault="00A8431A" w:rsidP="00F40C9B">
      <w:pPr>
        <w:spacing w:after="0"/>
        <w:ind w:left="720"/>
        <w:rPr>
          <w:i/>
          <w:color w:val="5B9BD5" w:themeColor="accent1"/>
        </w:rPr>
      </w:pPr>
      <w:r w:rsidRPr="00F40C9B">
        <w:rPr>
          <w:i/>
          <w:color w:val="5B9BD5" w:themeColor="accent1"/>
        </w:rPr>
        <w:t>Operations- Retail Establishment</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7594439A" w14:textId="77777777" w:rsidR="00F40C9B" w:rsidRPr="003110FB" w:rsidRDefault="00F40C9B" w:rsidP="00F40C9B">
      <w:pPr>
        <w:pStyle w:val="ListParagraph"/>
        <w:spacing w:after="0"/>
      </w:pPr>
    </w:p>
    <w:p w14:paraId="2AC05791" w14:textId="19C71735" w:rsidR="00A8431A" w:rsidRPr="00F40C9B" w:rsidRDefault="00A8431A" w:rsidP="00F40C9B">
      <w:pPr>
        <w:spacing w:after="0"/>
        <w:ind w:left="720"/>
        <w:rPr>
          <w:i/>
        </w:rPr>
      </w:pPr>
      <w:r w:rsidRPr="00F40C9B">
        <w:rPr>
          <w:i/>
          <w:color w:val="5B9BD5" w:themeColor="accent1"/>
        </w:rPr>
        <w:t>Riana Durrett, Executive Director, Nevada Dispensary Association</w:t>
      </w:r>
    </w:p>
    <w:p w14:paraId="16FCE777" w14:textId="77777777" w:rsidR="000B01A4" w:rsidRPr="003110FB" w:rsidRDefault="000B01A4" w:rsidP="000B01A4">
      <w:pPr>
        <w:spacing w:after="0"/>
      </w:pPr>
    </w:p>
    <w:p w14:paraId="3CADE330" w14:textId="1DB18568" w:rsidR="00E9081E" w:rsidRDefault="00DC4C91" w:rsidP="00E9081E">
      <w:pPr>
        <w:pStyle w:val="ListParagraph"/>
        <w:numPr>
          <w:ilvl w:val="0"/>
          <w:numId w:val="1"/>
        </w:numPr>
        <w:spacing w:after="0"/>
      </w:pPr>
      <w:r>
        <w:t>Describe the r</w:t>
      </w:r>
      <w:r w:rsidR="000B01A4" w:rsidRPr="003110FB">
        <w:t>ecommendation:</w:t>
      </w:r>
    </w:p>
    <w:p w14:paraId="5E26122D" w14:textId="77777777" w:rsidR="00F40C9B" w:rsidRDefault="00F40C9B" w:rsidP="00F40C9B">
      <w:pPr>
        <w:pStyle w:val="ListParagraph"/>
        <w:spacing w:after="0"/>
      </w:pPr>
    </w:p>
    <w:p w14:paraId="3EFE15E5" w14:textId="645E9570" w:rsidR="00202CA3" w:rsidRPr="00F40C9B" w:rsidRDefault="00280946" w:rsidP="00F40C9B">
      <w:pPr>
        <w:spacing w:after="0"/>
        <w:ind w:left="720"/>
        <w:jc w:val="both"/>
        <w:rPr>
          <w:i/>
          <w:color w:val="5B9BD5" w:themeColor="accent1"/>
        </w:rPr>
      </w:pPr>
      <w:r w:rsidRPr="00F40C9B">
        <w:rPr>
          <w:i/>
          <w:color w:val="5B9BD5" w:themeColor="accent1"/>
        </w:rPr>
        <w:t xml:space="preserve">The Operations- Retail Establishment working group </w:t>
      </w:r>
      <w:r w:rsidR="003D0C3C" w:rsidRPr="00F40C9B">
        <w:rPr>
          <w:i/>
          <w:color w:val="5B9BD5" w:themeColor="accent1"/>
        </w:rPr>
        <w:t xml:space="preserve">recommends </w:t>
      </w:r>
      <w:r w:rsidR="00202CA3" w:rsidRPr="00F40C9B">
        <w:rPr>
          <w:i/>
          <w:color w:val="5B9BD5" w:themeColor="accent1"/>
        </w:rPr>
        <w:t>that the Department of Taxation</w:t>
      </w:r>
      <w:r w:rsidR="00866516" w:rsidRPr="00F40C9B">
        <w:rPr>
          <w:i/>
          <w:color w:val="5B9BD5" w:themeColor="accent1"/>
        </w:rPr>
        <w:t xml:space="preserve"> (“Department”)</w:t>
      </w:r>
      <w:r w:rsidR="00202CA3" w:rsidRPr="00F40C9B">
        <w:rPr>
          <w:i/>
          <w:color w:val="5B9BD5" w:themeColor="accent1"/>
        </w:rPr>
        <w:t xml:space="preserve"> </w:t>
      </w:r>
      <w:r w:rsidR="00187238" w:rsidRPr="00F40C9B">
        <w:rPr>
          <w:i/>
          <w:color w:val="5B9BD5" w:themeColor="accent1"/>
        </w:rPr>
        <w:t xml:space="preserve">apply the medical marijuana program regulations to the retail marijuana program, with certain exceptions.  </w:t>
      </w:r>
      <w:r w:rsidR="00202CA3" w:rsidRPr="00F40C9B">
        <w:rPr>
          <w:i/>
          <w:color w:val="5B9BD5" w:themeColor="accent1"/>
        </w:rPr>
        <w:t xml:space="preserve">Nevada’s medical marijuana program is exemplary in many areas and the medical marijuana regulations should be adopted and applied to recreational marijuana, with </w:t>
      </w:r>
      <w:r w:rsidR="00187238" w:rsidRPr="00F40C9B">
        <w:rPr>
          <w:i/>
          <w:color w:val="5B9BD5" w:themeColor="accent1"/>
        </w:rPr>
        <w:t xml:space="preserve">the exceptions identified and discussed below.  The exceptions below pertain to dispensaries as other working groups are expected to address the regulations that pertain to their designated subject matter. </w:t>
      </w:r>
    </w:p>
    <w:p w14:paraId="42C21A26" w14:textId="77777777" w:rsidR="006D6DDC" w:rsidRPr="00F40C9B" w:rsidRDefault="006D6DDC" w:rsidP="00F40C9B">
      <w:pPr>
        <w:spacing w:after="0"/>
        <w:ind w:left="720"/>
        <w:jc w:val="both"/>
        <w:rPr>
          <w:i/>
          <w:color w:val="5B9BD5" w:themeColor="accent1"/>
        </w:rPr>
      </w:pPr>
    </w:p>
    <w:p w14:paraId="2B71EC0A" w14:textId="4EB78486" w:rsidR="006D6DDC" w:rsidRPr="00F40C9B" w:rsidRDefault="006D6DDC" w:rsidP="00F40C9B">
      <w:pPr>
        <w:spacing w:after="0"/>
        <w:ind w:left="720"/>
        <w:jc w:val="both"/>
        <w:rPr>
          <w:i/>
          <w:color w:val="5B9BD5" w:themeColor="accent1"/>
        </w:rPr>
      </w:pPr>
      <w:r w:rsidRPr="00F40C9B">
        <w:rPr>
          <w:i/>
          <w:color w:val="5B9BD5" w:themeColor="accent1"/>
        </w:rPr>
        <w:t xml:space="preserve">The regulations promulgated under IP1 should be codified in a separate sub-chapter, for example, NAC 453D. </w:t>
      </w:r>
    </w:p>
    <w:p w14:paraId="5B97C00F" w14:textId="77777777" w:rsidR="00AF4C63" w:rsidRDefault="00AF4C63" w:rsidP="006D6DDC">
      <w:pPr>
        <w:spacing w:after="0"/>
        <w:ind w:firstLine="360"/>
      </w:pPr>
    </w:p>
    <w:p w14:paraId="4F7CF570" w14:textId="07E0B2F7" w:rsidR="00001831" w:rsidRPr="00F40C9B" w:rsidRDefault="00001831" w:rsidP="00F40C9B">
      <w:pPr>
        <w:pStyle w:val="ListParagraph"/>
        <w:numPr>
          <w:ilvl w:val="0"/>
          <w:numId w:val="3"/>
        </w:numPr>
        <w:spacing w:after="0"/>
        <w:ind w:left="720" w:firstLine="0"/>
        <w:jc w:val="both"/>
        <w:rPr>
          <w:b/>
          <w:i/>
          <w:color w:val="5B9BD5" w:themeColor="accent1"/>
        </w:rPr>
      </w:pPr>
      <w:r w:rsidRPr="00F40C9B">
        <w:rPr>
          <w:b/>
          <w:i/>
          <w:color w:val="5B9BD5" w:themeColor="accent1"/>
        </w:rPr>
        <w:t>Application to Operate Establishment</w:t>
      </w:r>
    </w:p>
    <w:p w14:paraId="7DD1DF86" w14:textId="77777777" w:rsidR="00001831" w:rsidRPr="00F40C9B" w:rsidRDefault="00001831" w:rsidP="00F40C9B">
      <w:pPr>
        <w:pStyle w:val="ListParagraph"/>
        <w:spacing w:after="0"/>
        <w:jc w:val="both"/>
        <w:rPr>
          <w:b/>
          <w:i/>
          <w:color w:val="5B9BD5" w:themeColor="accent1"/>
        </w:rPr>
      </w:pPr>
    </w:p>
    <w:p w14:paraId="052874D7" w14:textId="1A0BC9C5" w:rsidR="00001831" w:rsidRPr="00F40C9B" w:rsidRDefault="00001831" w:rsidP="00F40C9B">
      <w:pPr>
        <w:spacing w:after="0"/>
        <w:ind w:left="720"/>
        <w:jc w:val="both"/>
        <w:rPr>
          <w:i/>
          <w:color w:val="5B9BD5" w:themeColor="accent1"/>
        </w:rPr>
      </w:pPr>
      <w:r w:rsidRPr="00F40C9B">
        <w:rPr>
          <w:i/>
          <w:color w:val="5B9BD5" w:themeColor="accent1"/>
        </w:rPr>
        <w:t>NAC 4</w:t>
      </w:r>
      <w:r w:rsidR="00CA11CD" w:rsidRPr="00F40C9B">
        <w:rPr>
          <w:i/>
          <w:color w:val="5B9BD5" w:themeColor="accent1"/>
        </w:rPr>
        <w:t>53A.304 to NAC 453A.33</w:t>
      </w:r>
      <w:r w:rsidR="00461F17" w:rsidRPr="00F40C9B">
        <w:rPr>
          <w:i/>
          <w:color w:val="5B9BD5" w:themeColor="accent1"/>
        </w:rPr>
        <w:t>2 provide</w:t>
      </w:r>
      <w:r w:rsidRPr="00F40C9B">
        <w:rPr>
          <w:i/>
          <w:color w:val="5B9BD5" w:themeColor="accent1"/>
        </w:rPr>
        <w:t xml:space="preserve"> the requirements for applying for and </w:t>
      </w:r>
      <w:r w:rsidR="00CA11CD" w:rsidRPr="00F40C9B">
        <w:rPr>
          <w:i/>
          <w:color w:val="5B9BD5" w:themeColor="accent1"/>
        </w:rPr>
        <w:t>renewing</w:t>
      </w:r>
      <w:r w:rsidRPr="00F40C9B">
        <w:rPr>
          <w:i/>
          <w:color w:val="5B9BD5" w:themeColor="accent1"/>
        </w:rPr>
        <w:t xml:space="preserve"> a </w:t>
      </w:r>
    </w:p>
    <w:p w14:paraId="15746AE9" w14:textId="37464829" w:rsidR="00AF4C63" w:rsidRPr="00F40C9B" w:rsidRDefault="00001831" w:rsidP="00F40C9B">
      <w:pPr>
        <w:spacing w:after="0"/>
        <w:ind w:left="720"/>
        <w:jc w:val="both"/>
        <w:rPr>
          <w:i/>
          <w:color w:val="5B9BD5" w:themeColor="accent1"/>
        </w:rPr>
      </w:pPr>
      <w:proofErr w:type="gramStart"/>
      <w:r w:rsidRPr="00F40C9B">
        <w:rPr>
          <w:i/>
          <w:color w:val="5B9BD5" w:themeColor="accent1"/>
        </w:rPr>
        <w:t>license</w:t>
      </w:r>
      <w:proofErr w:type="gramEnd"/>
      <w:r w:rsidRPr="00F40C9B">
        <w:rPr>
          <w:i/>
          <w:color w:val="5B9BD5" w:themeColor="accent1"/>
        </w:rPr>
        <w:t xml:space="preserve"> to operate a medical marijuana establishment.   These requirements would need to be revised to reflect the mandates under IP1, including t</w:t>
      </w:r>
      <w:r w:rsidR="00E45CA2" w:rsidRPr="00F40C9B">
        <w:rPr>
          <w:i/>
          <w:color w:val="5B9BD5" w:themeColor="accent1"/>
        </w:rPr>
        <w:t xml:space="preserve">he provisions for dual licensure. </w:t>
      </w:r>
      <w:r w:rsidRPr="00F40C9B">
        <w:rPr>
          <w:i/>
          <w:color w:val="5B9BD5" w:themeColor="accent1"/>
        </w:rPr>
        <w:t xml:space="preserve"> </w:t>
      </w:r>
      <w:r w:rsidR="00AF4C63" w:rsidRPr="00F40C9B">
        <w:rPr>
          <w:i/>
          <w:color w:val="5B9BD5" w:themeColor="accent1"/>
        </w:rPr>
        <w:tab/>
      </w:r>
    </w:p>
    <w:p w14:paraId="3F51D259" w14:textId="77777777" w:rsidR="00001831" w:rsidRPr="00F40C9B" w:rsidRDefault="00001831" w:rsidP="00F40C9B">
      <w:pPr>
        <w:pStyle w:val="ListParagraph"/>
        <w:spacing w:after="0"/>
        <w:jc w:val="both"/>
        <w:rPr>
          <w:b/>
          <w:i/>
          <w:color w:val="5B9BD5" w:themeColor="accent1"/>
        </w:rPr>
      </w:pPr>
    </w:p>
    <w:p w14:paraId="35F2CCD1" w14:textId="72E3DCA4" w:rsidR="00202CA3" w:rsidRPr="00F40C9B" w:rsidRDefault="00202CA3" w:rsidP="00F40C9B">
      <w:pPr>
        <w:pStyle w:val="ListParagraph"/>
        <w:numPr>
          <w:ilvl w:val="0"/>
          <w:numId w:val="3"/>
        </w:numPr>
        <w:spacing w:after="0"/>
        <w:ind w:left="720" w:firstLine="0"/>
        <w:jc w:val="both"/>
        <w:rPr>
          <w:b/>
          <w:i/>
          <w:color w:val="5B9BD5" w:themeColor="accent1"/>
        </w:rPr>
      </w:pPr>
      <w:r w:rsidRPr="00F40C9B">
        <w:rPr>
          <w:b/>
          <w:i/>
          <w:color w:val="5B9BD5" w:themeColor="accent1"/>
        </w:rPr>
        <w:t>Entry and Identification of Patients/Customers</w:t>
      </w:r>
    </w:p>
    <w:p w14:paraId="49D3CB6B" w14:textId="77777777" w:rsidR="00212CEB" w:rsidRPr="00F40C9B" w:rsidRDefault="00212CEB" w:rsidP="00F40C9B">
      <w:pPr>
        <w:spacing w:after="0"/>
        <w:ind w:left="720"/>
        <w:jc w:val="both"/>
        <w:rPr>
          <w:i/>
          <w:color w:val="5B9BD5" w:themeColor="accent1"/>
        </w:rPr>
      </w:pPr>
    </w:p>
    <w:p w14:paraId="5D2F9E1D" w14:textId="5FF010E9" w:rsidR="00212CEB" w:rsidRPr="00F40C9B" w:rsidRDefault="00212CEB" w:rsidP="00F40C9B">
      <w:pPr>
        <w:spacing w:after="0"/>
        <w:ind w:left="720"/>
        <w:jc w:val="both"/>
        <w:rPr>
          <w:i/>
          <w:color w:val="5B9BD5" w:themeColor="accent1"/>
        </w:rPr>
      </w:pPr>
      <w:r w:rsidRPr="00F40C9B">
        <w:rPr>
          <w:i/>
          <w:color w:val="5B9BD5" w:themeColor="accent1"/>
        </w:rPr>
        <w:t xml:space="preserve">Under NAC 453A.406, a person must be a patient or primary caregiver to be on the premises of a dispensary, other than registered agents and properly authorized visitors. </w:t>
      </w:r>
    </w:p>
    <w:p w14:paraId="0BE9EB7E" w14:textId="77777777" w:rsidR="00212CEB" w:rsidRPr="00F40C9B" w:rsidRDefault="00212CEB" w:rsidP="00F40C9B">
      <w:pPr>
        <w:spacing w:after="0"/>
        <w:ind w:left="720"/>
        <w:jc w:val="both"/>
        <w:rPr>
          <w:i/>
          <w:color w:val="5B9BD5" w:themeColor="accent1"/>
        </w:rPr>
      </w:pPr>
    </w:p>
    <w:p w14:paraId="11A71BBA" w14:textId="77777777" w:rsidR="00A703DF" w:rsidRPr="00F40C9B" w:rsidRDefault="00A703DF" w:rsidP="00F40C9B">
      <w:pPr>
        <w:spacing w:after="0"/>
        <w:ind w:left="720"/>
        <w:jc w:val="both"/>
        <w:rPr>
          <w:i/>
          <w:color w:val="5B9BD5" w:themeColor="accent1"/>
        </w:rPr>
      </w:pPr>
      <w:r w:rsidRPr="00F40C9B">
        <w:rPr>
          <w:i/>
          <w:color w:val="5B9BD5" w:themeColor="accent1"/>
        </w:rPr>
        <w:t>NAC 453D should only limit persons under 21 years of age from entering a dispensary.  Those persons should be limited to the retail/customer area and not allow access to restricted areas, unless they are a properly authorized visitor who is accompanied and monitored by a registered agent at all times.  NAC 453D should adopt the same provisions as NAC453A with regards to visitor access, visitor identification, visitor logs, etc.</w:t>
      </w:r>
      <w:bookmarkStart w:id="0" w:name="_GoBack"/>
      <w:bookmarkEnd w:id="0"/>
      <w:r w:rsidRPr="00F40C9B">
        <w:rPr>
          <w:i/>
          <w:color w:val="5B9BD5" w:themeColor="accent1"/>
        </w:rPr>
        <w:t xml:space="preserve">   </w:t>
      </w:r>
    </w:p>
    <w:p w14:paraId="5E9BD9B6" w14:textId="77777777" w:rsidR="00A703DF" w:rsidRPr="00F40C9B" w:rsidRDefault="00A703DF" w:rsidP="00F40C9B">
      <w:pPr>
        <w:spacing w:after="0"/>
        <w:ind w:left="720"/>
        <w:jc w:val="both"/>
        <w:rPr>
          <w:i/>
          <w:color w:val="5B9BD5" w:themeColor="accent1"/>
        </w:rPr>
      </w:pPr>
    </w:p>
    <w:p w14:paraId="27FBFA9F" w14:textId="3353A7E3" w:rsidR="00212CEB" w:rsidRPr="00F40C9B" w:rsidRDefault="00A703DF" w:rsidP="00F40C9B">
      <w:pPr>
        <w:spacing w:after="0"/>
        <w:ind w:left="720"/>
        <w:jc w:val="both"/>
        <w:rPr>
          <w:i/>
          <w:color w:val="5B9BD5" w:themeColor="accent1"/>
        </w:rPr>
      </w:pPr>
      <w:r w:rsidRPr="00F40C9B">
        <w:rPr>
          <w:i/>
          <w:color w:val="5B9BD5" w:themeColor="accent1"/>
        </w:rPr>
        <w:t xml:space="preserve">NAC 453D should specify that any person can enter the dispensary by showing proof they are 21 years of age or proof they are a patient or caregiver.   However, persons entering the dispensary who wish to go beyond the customer/retail area of the dispensary must be a registered agent, properly authorized visitor, or law enforcement or regulator. </w:t>
      </w:r>
    </w:p>
    <w:p w14:paraId="2B5C87A8" w14:textId="77777777" w:rsidR="00A703DF" w:rsidRPr="00F40C9B" w:rsidRDefault="00A703DF" w:rsidP="00F40C9B">
      <w:pPr>
        <w:spacing w:after="0"/>
        <w:ind w:left="720"/>
        <w:rPr>
          <w:i/>
          <w:color w:val="5B9BD5" w:themeColor="accent1"/>
        </w:rPr>
      </w:pPr>
    </w:p>
    <w:p w14:paraId="0D05AFB4" w14:textId="209739E1" w:rsidR="00212CEB" w:rsidRPr="00F40C9B" w:rsidRDefault="00A703DF" w:rsidP="00F40C9B">
      <w:pPr>
        <w:spacing w:after="0"/>
        <w:ind w:left="720"/>
        <w:rPr>
          <w:i/>
          <w:color w:val="5B9BD5" w:themeColor="accent1"/>
        </w:rPr>
      </w:pPr>
      <w:r w:rsidRPr="00F40C9B">
        <w:rPr>
          <w:i/>
          <w:color w:val="5B9BD5" w:themeColor="accent1"/>
        </w:rPr>
        <w:lastRenderedPageBreak/>
        <w:t xml:space="preserve">Any dispensary that allows entry of those under 21 years of age that is not properly authorized shall be subject to disciplinary action ranging from a fine to revocation, depending on the culpability of the dispensary. </w:t>
      </w:r>
    </w:p>
    <w:p w14:paraId="66945657" w14:textId="77777777" w:rsidR="00212CEB" w:rsidRPr="00F40C9B" w:rsidRDefault="00212CEB" w:rsidP="00F40C9B">
      <w:pPr>
        <w:spacing w:after="0"/>
        <w:ind w:left="720"/>
        <w:rPr>
          <w:i/>
          <w:color w:val="5B9BD5" w:themeColor="accent1"/>
        </w:rPr>
      </w:pPr>
    </w:p>
    <w:p w14:paraId="420F7601" w14:textId="662EDF2D" w:rsidR="000B5F15" w:rsidRPr="00F40C9B" w:rsidRDefault="000B5F15" w:rsidP="00F40C9B">
      <w:pPr>
        <w:pStyle w:val="ListParagraph"/>
        <w:numPr>
          <w:ilvl w:val="0"/>
          <w:numId w:val="3"/>
        </w:numPr>
        <w:spacing w:after="0"/>
        <w:ind w:left="720" w:firstLine="0"/>
        <w:rPr>
          <w:b/>
          <w:i/>
          <w:color w:val="5B9BD5" w:themeColor="accent1"/>
        </w:rPr>
      </w:pPr>
      <w:r w:rsidRPr="00F40C9B">
        <w:rPr>
          <w:b/>
          <w:i/>
          <w:color w:val="5B9BD5" w:themeColor="accent1"/>
        </w:rPr>
        <w:t>Patient Records</w:t>
      </w:r>
    </w:p>
    <w:p w14:paraId="16273DAC" w14:textId="77777777" w:rsidR="00866516" w:rsidRPr="00F40C9B" w:rsidRDefault="00866516" w:rsidP="00F40C9B">
      <w:pPr>
        <w:spacing w:after="0"/>
        <w:ind w:left="720"/>
        <w:rPr>
          <w:i/>
          <w:color w:val="5B9BD5" w:themeColor="accent1"/>
        </w:rPr>
      </w:pPr>
    </w:p>
    <w:p w14:paraId="11D226EF" w14:textId="77777777" w:rsidR="00866516" w:rsidRPr="00F40C9B" w:rsidRDefault="000B5F15" w:rsidP="00F40C9B">
      <w:pPr>
        <w:spacing w:after="0"/>
        <w:ind w:left="720"/>
        <w:jc w:val="both"/>
        <w:rPr>
          <w:i/>
          <w:color w:val="5B9BD5" w:themeColor="accent1"/>
        </w:rPr>
      </w:pPr>
      <w:r w:rsidRPr="00F40C9B">
        <w:rPr>
          <w:i/>
          <w:color w:val="5B9BD5" w:themeColor="accent1"/>
        </w:rPr>
        <w:t xml:space="preserve">NAC 453A.452 sets forth the requirements pertaining to patient records and requiring </w:t>
      </w:r>
    </w:p>
    <w:p w14:paraId="2F34A0E2" w14:textId="462C4D0E" w:rsidR="000B5F15" w:rsidRPr="00F40C9B" w:rsidRDefault="000B5F15" w:rsidP="00F40C9B">
      <w:pPr>
        <w:spacing w:after="0"/>
        <w:ind w:left="720"/>
        <w:jc w:val="both"/>
        <w:rPr>
          <w:i/>
          <w:color w:val="5B9BD5" w:themeColor="accent1"/>
        </w:rPr>
      </w:pPr>
      <w:proofErr w:type="gramStart"/>
      <w:r w:rsidRPr="00F40C9B">
        <w:rPr>
          <w:i/>
          <w:color w:val="5B9BD5" w:themeColor="accent1"/>
        </w:rPr>
        <w:t>documentation</w:t>
      </w:r>
      <w:proofErr w:type="gramEnd"/>
      <w:r w:rsidRPr="00F40C9B">
        <w:rPr>
          <w:i/>
          <w:color w:val="5B9BD5" w:themeColor="accent1"/>
        </w:rPr>
        <w:t xml:space="preserve"> for denial of sales to a patient.  NAC453D should eliminate this requirement. </w:t>
      </w:r>
    </w:p>
    <w:p w14:paraId="70291B8A" w14:textId="77777777" w:rsidR="000B5F15" w:rsidRPr="00F40C9B" w:rsidRDefault="000B5F15" w:rsidP="00F40C9B">
      <w:pPr>
        <w:spacing w:after="0"/>
        <w:ind w:left="720"/>
        <w:jc w:val="both"/>
        <w:rPr>
          <w:b/>
          <w:i/>
          <w:color w:val="5B9BD5" w:themeColor="accent1"/>
        </w:rPr>
      </w:pPr>
    </w:p>
    <w:p w14:paraId="131576E8" w14:textId="54ECA949" w:rsidR="000B5F15" w:rsidRPr="00F40C9B" w:rsidRDefault="00202CA3" w:rsidP="00F40C9B">
      <w:pPr>
        <w:pStyle w:val="ListParagraph"/>
        <w:numPr>
          <w:ilvl w:val="0"/>
          <w:numId w:val="3"/>
        </w:numPr>
        <w:spacing w:after="0"/>
        <w:ind w:left="720" w:firstLine="0"/>
        <w:jc w:val="both"/>
        <w:rPr>
          <w:b/>
          <w:i/>
          <w:color w:val="5B9BD5" w:themeColor="accent1"/>
        </w:rPr>
      </w:pPr>
      <w:r w:rsidRPr="00F40C9B">
        <w:rPr>
          <w:b/>
          <w:i/>
          <w:color w:val="5B9BD5" w:themeColor="accent1"/>
        </w:rPr>
        <w:t>Tracking</w:t>
      </w:r>
      <w:r w:rsidR="000B5F15" w:rsidRPr="00F40C9B">
        <w:rPr>
          <w:b/>
          <w:i/>
          <w:color w:val="5B9BD5" w:themeColor="accent1"/>
        </w:rPr>
        <w:t xml:space="preserve"> Sales</w:t>
      </w:r>
    </w:p>
    <w:p w14:paraId="7A75B564" w14:textId="77777777" w:rsidR="00866516" w:rsidRPr="00F40C9B" w:rsidRDefault="00866516" w:rsidP="00F40C9B">
      <w:pPr>
        <w:spacing w:after="0"/>
        <w:ind w:left="720"/>
        <w:jc w:val="both"/>
        <w:rPr>
          <w:i/>
          <w:color w:val="5B9BD5" w:themeColor="accent1"/>
        </w:rPr>
      </w:pPr>
    </w:p>
    <w:p w14:paraId="2CF9236A" w14:textId="77777777" w:rsidR="00866516" w:rsidRPr="00F40C9B" w:rsidRDefault="000B5F15" w:rsidP="00F40C9B">
      <w:pPr>
        <w:spacing w:after="0"/>
        <w:ind w:left="720"/>
        <w:jc w:val="both"/>
        <w:rPr>
          <w:i/>
          <w:color w:val="5B9BD5" w:themeColor="accent1"/>
        </w:rPr>
      </w:pPr>
      <w:r w:rsidRPr="00F40C9B">
        <w:rPr>
          <w:i/>
          <w:color w:val="5B9BD5" w:themeColor="accent1"/>
        </w:rPr>
        <w:t xml:space="preserve">Under NAC 453A.412, a dispensary agent must </w:t>
      </w:r>
      <w:r w:rsidR="000F6CB2" w:rsidRPr="00F40C9B">
        <w:rPr>
          <w:i/>
          <w:color w:val="5B9BD5" w:themeColor="accent1"/>
        </w:rPr>
        <w:t xml:space="preserve">verify patient identification, offer education </w:t>
      </w:r>
    </w:p>
    <w:p w14:paraId="4640C30F" w14:textId="6CD0657C" w:rsidR="00866516" w:rsidRPr="00F40C9B" w:rsidRDefault="000F6CB2" w:rsidP="00F40C9B">
      <w:pPr>
        <w:spacing w:after="0"/>
        <w:ind w:left="720"/>
        <w:jc w:val="both"/>
        <w:rPr>
          <w:i/>
          <w:color w:val="5B9BD5" w:themeColor="accent1"/>
        </w:rPr>
      </w:pPr>
      <w:proofErr w:type="gramStart"/>
      <w:r w:rsidRPr="00F40C9B">
        <w:rPr>
          <w:i/>
          <w:color w:val="5B9BD5" w:themeColor="accent1"/>
        </w:rPr>
        <w:t>materials</w:t>
      </w:r>
      <w:proofErr w:type="gramEnd"/>
      <w:r w:rsidRPr="00F40C9B">
        <w:rPr>
          <w:i/>
          <w:color w:val="5B9BD5" w:themeColor="accent1"/>
        </w:rPr>
        <w:t>, verify purchase would not exceed patient’s 2.5 ounce limit, verify the validity of the patient card, and enter the patients identification, purchase</w:t>
      </w:r>
      <w:r w:rsidR="00866516" w:rsidRPr="00F40C9B">
        <w:rPr>
          <w:i/>
          <w:color w:val="5B9BD5" w:themeColor="accent1"/>
        </w:rPr>
        <w:t xml:space="preserve"> amount</w:t>
      </w:r>
      <w:r w:rsidRPr="00F40C9B">
        <w:rPr>
          <w:i/>
          <w:color w:val="5B9BD5" w:themeColor="accent1"/>
        </w:rPr>
        <w:t>,</w:t>
      </w:r>
      <w:r w:rsidR="00866516" w:rsidRPr="00F40C9B">
        <w:rPr>
          <w:i/>
          <w:color w:val="5B9BD5" w:themeColor="accent1"/>
        </w:rPr>
        <w:t xml:space="preserve"> and information about the dispensary into the on-line portal and inventory control system. </w:t>
      </w:r>
    </w:p>
    <w:p w14:paraId="24C66549" w14:textId="77777777" w:rsidR="00866516" w:rsidRPr="00F40C9B" w:rsidRDefault="00866516" w:rsidP="00F40C9B">
      <w:pPr>
        <w:spacing w:after="0"/>
        <w:ind w:left="720"/>
        <w:jc w:val="both"/>
        <w:rPr>
          <w:i/>
          <w:color w:val="5B9BD5" w:themeColor="accent1"/>
        </w:rPr>
      </w:pPr>
    </w:p>
    <w:p w14:paraId="1F6BCB5F" w14:textId="56A15703" w:rsidR="00866516" w:rsidRPr="00F40C9B" w:rsidRDefault="00866516" w:rsidP="00F40C9B">
      <w:pPr>
        <w:spacing w:after="0"/>
        <w:ind w:left="720"/>
        <w:jc w:val="both"/>
        <w:rPr>
          <w:i/>
          <w:color w:val="5B9BD5" w:themeColor="accent1"/>
        </w:rPr>
      </w:pPr>
      <w:r w:rsidRPr="00F40C9B">
        <w:rPr>
          <w:i/>
          <w:color w:val="5B9BD5" w:themeColor="accent1"/>
        </w:rPr>
        <w:t>NAC 453D should eliminate each of these requirements.  N</w:t>
      </w:r>
      <w:r w:rsidR="00A97ACD" w:rsidRPr="00F40C9B">
        <w:rPr>
          <w:i/>
          <w:color w:val="5B9BD5" w:themeColor="accent1"/>
        </w:rPr>
        <w:t>AC453D should only impose the 1-</w:t>
      </w:r>
      <w:r w:rsidRPr="00F40C9B">
        <w:rPr>
          <w:i/>
          <w:color w:val="5B9BD5" w:themeColor="accent1"/>
        </w:rPr>
        <w:t xml:space="preserve">ounce </w:t>
      </w:r>
    </w:p>
    <w:p w14:paraId="5C222B10" w14:textId="0565C9BE" w:rsidR="000B5F15" w:rsidRPr="00F40C9B" w:rsidRDefault="00866516" w:rsidP="00F40C9B">
      <w:pPr>
        <w:spacing w:after="0"/>
        <w:ind w:left="720"/>
        <w:jc w:val="both"/>
        <w:rPr>
          <w:i/>
          <w:color w:val="5B9BD5" w:themeColor="accent1"/>
        </w:rPr>
      </w:pPr>
      <w:proofErr w:type="gramStart"/>
      <w:r w:rsidRPr="00F40C9B">
        <w:rPr>
          <w:i/>
          <w:color w:val="5B9BD5" w:themeColor="accent1"/>
        </w:rPr>
        <w:t>purchase</w:t>
      </w:r>
      <w:proofErr w:type="gramEnd"/>
      <w:r w:rsidRPr="00F40C9B">
        <w:rPr>
          <w:i/>
          <w:color w:val="5B9BD5" w:themeColor="accent1"/>
        </w:rPr>
        <w:t xml:space="preserve"> limit, but not require a customer to show any identifying information, other than proof that the person is over 21 years of age and it should not require the dispensary to document any information provided by the customer. </w:t>
      </w:r>
      <w:r w:rsidR="000F6CB2" w:rsidRPr="00F40C9B">
        <w:rPr>
          <w:i/>
          <w:color w:val="5B9BD5" w:themeColor="accent1"/>
        </w:rPr>
        <w:t xml:space="preserve">  </w:t>
      </w:r>
    </w:p>
    <w:p w14:paraId="0E3EEF72" w14:textId="77777777" w:rsidR="00866516" w:rsidRPr="00F40C9B" w:rsidRDefault="00866516" w:rsidP="00F40C9B">
      <w:pPr>
        <w:spacing w:after="0"/>
        <w:ind w:left="720"/>
        <w:jc w:val="both"/>
        <w:rPr>
          <w:b/>
          <w:i/>
          <w:color w:val="5B9BD5" w:themeColor="accent1"/>
        </w:rPr>
      </w:pPr>
    </w:p>
    <w:p w14:paraId="77DFE2BA" w14:textId="442E22CC" w:rsidR="00866516" w:rsidRPr="00F40C9B" w:rsidRDefault="00866516" w:rsidP="00F40C9B">
      <w:pPr>
        <w:pStyle w:val="ListParagraph"/>
        <w:numPr>
          <w:ilvl w:val="0"/>
          <w:numId w:val="3"/>
        </w:numPr>
        <w:spacing w:after="0"/>
        <w:ind w:left="720" w:firstLine="0"/>
        <w:jc w:val="both"/>
        <w:rPr>
          <w:b/>
          <w:i/>
          <w:color w:val="5B9BD5" w:themeColor="accent1"/>
        </w:rPr>
      </w:pPr>
      <w:r w:rsidRPr="00F40C9B">
        <w:rPr>
          <w:b/>
          <w:i/>
          <w:color w:val="5B9BD5" w:themeColor="accent1"/>
        </w:rPr>
        <w:t>Obtaining Products and Transfers Between Establishments</w:t>
      </w:r>
    </w:p>
    <w:p w14:paraId="5FD5BC56" w14:textId="77777777" w:rsidR="00866516" w:rsidRPr="00F40C9B" w:rsidRDefault="00866516" w:rsidP="00F40C9B">
      <w:pPr>
        <w:spacing w:after="0"/>
        <w:ind w:left="720"/>
        <w:jc w:val="both"/>
        <w:rPr>
          <w:b/>
          <w:i/>
          <w:color w:val="5B9BD5" w:themeColor="accent1"/>
        </w:rPr>
      </w:pPr>
    </w:p>
    <w:p w14:paraId="38F9BD08" w14:textId="7F5A16F3" w:rsidR="00866516" w:rsidRPr="00F40C9B" w:rsidRDefault="00866516" w:rsidP="00F40C9B">
      <w:pPr>
        <w:spacing w:after="0"/>
        <w:ind w:left="720"/>
        <w:jc w:val="both"/>
        <w:rPr>
          <w:i/>
          <w:color w:val="5B9BD5" w:themeColor="accent1"/>
        </w:rPr>
      </w:pPr>
      <w:r w:rsidRPr="00F40C9B">
        <w:rPr>
          <w:b/>
          <w:i/>
          <w:color w:val="5B9BD5" w:themeColor="accent1"/>
        </w:rPr>
        <w:t xml:space="preserve">        </w:t>
      </w:r>
      <w:r w:rsidRPr="00F40C9B">
        <w:rPr>
          <w:i/>
          <w:color w:val="5B9BD5" w:themeColor="accent1"/>
        </w:rPr>
        <w:t xml:space="preserve">NAC 453A.414 limits which MME type may acquire and provide marijuana to and from another MME Type.  For example, a dispensary may not obtain marijuana from another dispensary. </w:t>
      </w:r>
    </w:p>
    <w:p w14:paraId="123466D8" w14:textId="6C63EE2A" w:rsidR="00866516" w:rsidRPr="00F40C9B" w:rsidRDefault="00866516" w:rsidP="00F40C9B">
      <w:pPr>
        <w:spacing w:after="0"/>
        <w:ind w:left="720"/>
        <w:jc w:val="both"/>
        <w:rPr>
          <w:i/>
          <w:color w:val="5B9BD5" w:themeColor="accent1"/>
        </w:rPr>
      </w:pPr>
      <w:r w:rsidRPr="00F40C9B">
        <w:rPr>
          <w:i/>
          <w:color w:val="5B9BD5" w:themeColor="accent1"/>
        </w:rPr>
        <w:br/>
        <w:t xml:space="preserve">        NAC 453D should not contain any limits on which establishment may acquire marijuana from which establishment type or which establishment type can transport to another establishment type</w:t>
      </w:r>
      <w:proofErr w:type="gramStart"/>
      <w:r w:rsidRPr="00F40C9B">
        <w:rPr>
          <w:i/>
          <w:color w:val="5B9BD5" w:themeColor="accent1"/>
        </w:rPr>
        <w:t>..</w:t>
      </w:r>
      <w:proofErr w:type="gramEnd"/>
      <w:r w:rsidRPr="00F40C9B">
        <w:rPr>
          <w:i/>
          <w:color w:val="5B9BD5" w:themeColor="accent1"/>
        </w:rPr>
        <w:t xml:space="preserve"> </w:t>
      </w:r>
      <w:r w:rsidR="00882C01" w:rsidRPr="00F40C9B">
        <w:rPr>
          <w:i/>
          <w:color w:val="5B9BD5" w:themeColor="accent1"/>
        </w:rPr>
        <w:t xml:space="preserve"> NAC453D should include provisions for documenting products legally obtained from persons legally authorized to cultivate marijuana pursuant to IP1.   NAC453D should extend the documentation required for receiving marijuana from a medical marijuana establishment</w:t>
      </w:r>
      <w:r w:rsidR="0059366C" w:rsidRPr="00F40C9B">
        <w:rPr>
          <w:i/>
          <w:color w:val="5B9BD5" w:themeColor="accent1"/>
        </w:rPr>
        <w:t xml:space="preserve"> under NAC453A.414(c)</w:t>
      </w:r>
      <w:r w:rsidR="00945097" w:rsidRPr="00F40C9B">
        <w:rPr>
          <w:i/>
          <w:color w:val="5B9BD5" w:themeColor="accent1"/>
        </w:rPr>
        <w:t xml:space="preserve"> to require</w:t>
      </w:r>
      <w:r w:rsidR="00882C01" w:rsidRPr="00F40C9B">
        <w:rPr>
          <w:i/>
          <w:color w:val="5B9BD5" w:themeColor="accent1"/>
        </w:rPr>
        <w:t xml:space="preserve"> the same documentation in the retail marijuana program.  Similarly, the same documentation should be required when providing marijuana as</w:t>
      </w:r>
      <w:r w:rsidR="00945097" w:rsidRPr="00F40C9B">
        <w:rPr>
          <w:i/>
          <w:color w:val="5B9BD5" w:themeColor="accent1"/>
        </w:rPr>
        <w:t xml:space="preserve"> required under </w:t>
      </w:r>
      <w:proofErr w:type="gramStart"/>
      <w:r w:rsidR="00945097" w:rsidRPr="00F40C9B">
        <w:rPr>
          <w:i/>
          <w:color w:val="5B9BD5" w:themeColor="accent1"/>
        </w:rPr>
        <w:t>NAC453.414(</w:t>
      </w:r>
      <w:proofErr w:type="gramEnd"/>
      <w:r w:rsidR="00945097" w:rsidRPr="00F40C9B">
        <w:rPr>
          <w:i/>
          <w:color w:val="5B9BD5" w:themeColor="accent1"/>
        </w:rPr>
        <w:t xml:space="preserve">e).  Similarly, </w:t>
      </w:r>
      <w:r w:rsidR="007217A8" w:rsidRPr="00F40C9B">
        <w:rPr>
          <w:i/>
          <w:color w:val="5B9BD5" w:themeColor="accent1"/>
        </w:rPr>
        <w:t xml:space="preserve">the documentation required when acquiring and selling edible marijuana, infused marijuana, and concentrated cannabis should also be required when acquiring or selling those products in the retail market. </w:t>
      </w:r>
    </w:p>
    <w:p w14:paraId="54685533" w14:textId="77777777" w:rsidR="00A51981" w:rsidRPr="00F40C9B" w:rsidRDefault="00A51981" w:rsidP="00F40C9B">
      <w:pPr>
        <w:spacing w:after="0"/>
        <w:ind w:left="720"/>
        <w:jc w:val="both"/>
        <w:rPr>
          <w:i/>
          <w:color w:val="5B9BD5" w:themeColor="accent1"/>
        </w:rPr>
      </w:pPr>
    </w:p>
    <w:p w14:paraId="2EB798A9" w14:textId="78A371C8" w:rsidR="00A51981" w:rsidRPr="00F40C9B" w:rsidRDefault="00A51981" w:rsidP="00F40C9B">
      <w:pPr>
        <w:pStyle w:val="ListParagraph"/>
        <w:numPr>
          <w:ilvl w:val="0"/>
          <w:numId w:val="3"/>
        </w:numPr>
        <w:spacing w:after="0"/>
        <w:ind w:left="720" w:firstLine="0"/>
        <w:jc w:val="both"/>
        <w:rPr>
          <w:b/>
          <w:i/>
          <w:color w:val="5B9BD5" w:themeColor="accent1"/>
        </w:rPr>
      </w:pPr>
      <w:r w:rsidRPr="00F40C9B">
        <w:rPr>
          <w:b/>
          <w:i/>
          <w:color w:val="5B9BD5" w:themeColor="accent1"/>
        </w:rPr>
        <w:t>Labeling</w:t>
      </w:r>
    </w:p>
    <w:p w14:paraId="3150F66D" w14:textId="77777777" w:rsidR="00A51981" w:rsidRPr="00F40C9B" w:rsidRDefault="00A51981" w:rsidP="00F40C9B">
      <w:pPr>
        <w:spacing w:after="0"/>
        <w:ind w:left="720"/>
        <w:jc w:val="both"/>
        <w:rPr>
          <w:i/>
          <w:color w:val="5B9BD5" w:themeColor="accent1"/>
        </w:rPr>
      </w:pPr>
    </w:p>
    <w:p w14:paraId="32B2D788" w14:textId="50B4BA91" w:rsidR="00212CEB" w:rsidRPr="00F40C9B" w:rsidRDefault="00A51981" w:rsidP="00F40C9B">
      <w:pPr>
        <w:spacing w:after="0"/>
        <w:ind w:left="720"/>
        <w:jc w:val="both"/>
        <w:rPr>
          <w:i/>
          <w:color w:val="5B9BD5" w:themeColor="accent1"/>
        </w:rPr>
      </w:pPr>
      <w:r w:rsidRPr="00F40C9B">
        <w:rPr>
          <w:i/>
          <w:color w:val="5B9BD5" w:themeColor="accent1"/>
        </w:rPr>
        <w:t>Under NAC453A</w:t>
      </w:r>
      <w:r w:rsidR="00212CEB" w:rsidRPr="00F40C9B">
        <w:rPr>
          <w:i/>
          <w:color w:val="5B9BD5" w:themeColor="accent1"/>
        </w:rPr>
        <w:t>.510</w:t>
      </w:r>
      <w:r w:rsidRPr="00F40C9B">
        <w:rPr>
          <w:i/>
          <w:color w:val="5B9BD5" w:themeColor="accent1"/>
        </w:rPr>
        <w:t xml:space="preserve">, the dispensary must affix a label to each product that </w:t>
      </w:r>
      <w:r w:rsidR="00212CEB" w:rsidRPr="00F40C9B">
        <w:rPr>
          <w:i/>
          <w:color w:val="5B9BD5" w:themeColor="accent1"/>
        </w:rPr>
        <w:t xml:space="preserve">includes various information, such as patient name.  Under IP1, the Department should revise the requirements for labeling retail marijuana to reflect the provision in IP1 that precludes the Department from tracking customer information. </w:t>
      </w:r>
    </w:p>
    <w:p w14:paraId="40662983" w14:textId="77777777" w:rsidR="0093747F" w:rsidRPr="00F40C9B" w:rsidRDefault="0093747F" w:rsidP="00F40C9B">
      <w:pPr>
        <w:spacing w:after="0"/>
        <w:ind w:left="720"/>
        <w:jc w:val="both"/>
        <w:rPr>
          <w:i/>
          <w:color w:val="5B9BD5" w:themeColor="accent1"/>
        </w:rPr>
      </w:pPr>
    </w:p>
    <w:p w14:paraId="2A536274" w14:textId="7F22BA1C" w:rsidR="0093747F" w:rsidRPr="00F40C9B" w:rsidRDefault="0093747F" w:rsidP="00F40C9B">
      <w:pPr>
        <w:spacing w:after="0"/>
        <w:ind w:left="720"/>
        <w:jc w:val="both"/>
        <w:rPr>
          <w:i/>
          <w:color w:val="5B9BD5" w:themeColor="accent1"/>
        </w:rPr>
      </w:pPr>
      <w:r w:rsidRPr="00F40C9B">
        <w:rPr>
          <w:i/>
          <w:color w:val="5B9BD5" w:themeColor="accent1"/>
        </w:rPr>
        <w:t xml:space="preserve">Further, the Department should require dispensaries to include label information with each purchase, but it should not require each dispensary to “affix” the label to the product.  Dispensaries have faced unnecessary challenges from the requirement to “affix” the label because some products are too small for a label.  The dispensary should be required to provide the label information with the purchase, just as prescription drug information is often provided in a separate booklet with the purchase of the prescription. </w:t>
      </w:r>
    </w:p>
    <w:p w14:paraId="2057FD98" w14:textId="77777777" w:rsidR="00385ACE" w:rsidRPr="00F40C9B" w:rsidRDefault="00385ACE" w:rsidP="00F40C9B">
      <w:pPr>
        <w:spacing w:after="0"/>
        <w:ind w:left="720"/>
        <w:jc w:val="both"/>
        <w:rPr>
          <w:i/>
          <w:color w:val="5B9BD5" w:themeColor="accent1"/>
        </w:rPr>
      </w:pPr>
    </w:p>
    <w:p w14:paraId="6AA866B0" w14:textId="1F8587BF" w:rsidR="00385ACE" w:rsidRPr="00F40C9B" w:rsidRDefault="0093747F" w:rsidP="00F40C9B">
      <w:pPr>
        <w:spacing w:after="0"/>
        <w:ind w:left="720"/>
        <w:jc w:val="both"/>
        <w:rPr>
          <w:i/>
          <w:color w:val="5B9BD5" w:themeColor="accent1"/>
        </w:rPr>
      </w:pPr>
      <w:r w:rsidRPr="00F40C9B">
        <w:rPr>
          <w:i/>
          <w:color w:val="5B9BD5" w:themeColor="accent1"/>
        </w:rPr>
        <w:t xml:space="preserve">Further modifications to the labeling requirements should be addressed in a separate recommendation. </w:t>
      </w:r>
    </w:p>
    <w:p w14:paraId="62B0D1B3" w14:textId="77777777" w:rsidR="007217A8" w:rsidRPr="00F40C9B" w:rsidRDefault="007217A8" w:rsidP="00F40C9B">
      <w:pPr>
        <w:spacing w:after="0"/>
        <w:ind w:left="720"/>
        <w:jc w:val="both"/>
        <w:rPr>
          <w:i/>
          <w:color w:val="5B9BD5" w:themeColor="accent1"/>
        </w:rPr>
      </w:pPr>
    </w:p>
    <w:p w14:paraId="34699945" w14:textId="77777777" w:rsidR="007217A8" w:rsidRPr="00F40C9B" w:rsidRDefault="007217A8" w:rsidP="00F40C9B">
      <w:pPr>
        <w:pStyle w:val="ListParagraph"/>
        <w:spacing w:after="0"/>
        <w:jc w:val="both"/>
        <w:rPr>
          <w:i/>
          <w:color w:val="5B9BD5" w:themeColor="accent1"/>
        </w:rPr>
      </w:pPr>
    </w:p>
    <w:p w14:paraId="2A946C9A" w14:textId="5E9484C4" w:rsidR="00202CA3" w:rsidRPr="00F40C9B" w:rsidRDefault="00202CA3" w:rsidP="00F40C9B">
      <w:pPr>
        <w:pStyle w:val="ListParagraph"/>
        <w:numPr>
          <w:ilvl w:val="0"/>
          <w:numId w:val="3"/>
        </w:numPr>
        <w:spacing w:after="0"/>
        <w:ind w:left="720" w:firstLine="0"/>
        <w:jc w:val="both"/>
        <w:rPr>
          <w:b/>
          <w:i/>
          <w:color w:val="5B9BD5" w:themeColor="accent1"/>
        </w:rPr>
      </w:pPr>
      <w:r w:rsidRPr="00F40C9B">
        <w:rPr>
          <w:b/>
          <w:i/>
          <w:color w:val="5B9BD5" w:themeColor="accent1"/>
        </w:rPr>
        <w:t>Purchase limits</w:t>
      </w:r>
    </w:p>
    <w:p w14:paraId="20F4828E" w14:textId="77777777" w:rsidR="00212CEB" w:rsidRPr="00F40C9B" w:rsidRDefault="00212CEB" w:rsidP="00F40C9B">
      <w:pPr>
        <w:spacing w:after="0"/>
        <w:ind w:left="720"/>
        <w:jc w:val="both"/>
        <w:rPr>
          <w:b/>
          <w:i/>
          <w:color w:val="5B9BD5" w:themeColor="accent1"/>
        </w:rPr>
      </w:pPr>
    </w:p>
    <w:p w14:paraId="4FDE511F" w14:textId="00F7833C" w:rsidR="007217A8" w:rsidRPr="00F40C9B" w:rsidRDefault="007217A8" w:rsidP="00F40C9B">
      <w:pPr>
        <w:spacing w:after="0"/>
        <w:ind w:left="720"/>
        <w:jc w:val="both"/>
        <w:rPr>
          <w:i/>
          <w:color w:val="5B9BD5" w:themeColor="accent1"/>
        </w:rPr>
      </w:pPr>
      <w:r w:rsidRPr="00F40C9B">
        <w:rPr>
          <w:i/>
          <w:color w:val="5B9BD5" w:themeColor="accent1"/>
        </w:rPr>
        <w:t>NAC 453A.412 requires verification of patient purchase limits and requires dispensaries to only sell within those limits.  Any limits under NAC453D would be 1 ounce of marijuana or 1/8</w:t>
      </w:r>
      <w:r w:rsidRPr="00F40C9B">
        <w:rPr>
          <w:i/>
          <w:color w:val="5B9BD5" w:themeColor="accent1"/>
          <w:vertAlign w:val="superscript"/>
        </w:rPr>
        <w:t>th</w:t>
      </w:r>
      <w:r w:rsidRPr="00F40C9B">
        <w:rPr>
          <w:i/>
          <w:color w:val="5B9BD5" w:themeColor="accent1"/>
        </w:rPr>
        <w:t xml:space="preserve"> of an ounce of concentrated cannabis, per IP1, but the dispensary is not required to track purchase amounts</w:t>
      </w:r>
      <w:r w:rsidR="00347B53" w:rsidRPr="00F40C9B">
        <w:rPr>
          <w:i/>
          <w:color w:val="5B9BD5" w:themeColor="accent1"/>
        </w:rPr>
        <w:t xml:space="preserve"> as they are under the medical marijuana program</w:t>
      </w:r>
      <w:r w:rsidRPr="00F40C9B">
        <w:rPr>
          <w:i/>
          <w:color w:val="5B9BD5" w:themeColor="accent1"/>
        </w:rPr>
        <w:t xml:space="preserve">.  </w:t>
      </w:r>
    </w:p>
    <w:p w14:paraId="5229AC5B" w14:textId="77777777" w:rsidR="007217A8" w:rsidRPr="00F40C9B" w:rsidRDefault="007217A8" w:rsidP="00F40C9B">
      <w:pPr>
        <w:pStyle w:val="ListParagraph"/>
        <w:spacing w:after="0"/>
        <w:jc w:val="both"/>
        <w:rPr>
          <w:b/>
          <w:i/>
          <w:color w:val="5B9BD5" w:themeColor="accent1"/>
        </w:rPr>
      </w:pPr>
    </w:p>
    <w:p w14:paraId="7E751441" w14:textId="77777777" w:rsidR="001A1920" w:rsidRPr="00F40C9B" w:rsidRDefault="001A1920" w:rsidP="00F40C9B">
      <w:pPr>
        <w:spacing w:after="0"/>
        <w:ind w:left="720"/>
        <w:jc w:val="both"/>
        <w:rPr>
          <w:b/>
          <w:i/>
          <w:color w:val="5B9BD5" w:themeColor="accent1"/>
        </w:rPr>
      </w:pPr>
    </w:p>
    <w:p w14:paraId="61EB0856" w14:textId="2570B7ED" w:rsidR="00202CA3" w:rsidRPr="00F40C9B" w:rsidRDefault="00202CA3" w:rsidP="00F40C9B">
      <w:pPr>
        <w:pStyle w:val="ListParagraph"/>
        <w:numPr>
          <w:ilvl w:val="0"/>
          <w:numId w:val="3"/>
        </w:numPr>
        <w:spacing w:after="0"/>
        <w:ind w:left="720" w:firstLine="0"/>
        <w:jc w:val="both"/>
        <w:rPr>
          <w:b/>
          <w:i/>
          <w:color w:val="5B9BD5" w:themeColor="accent1"/>
        </w:rPr>
      </w:pPr>
      <w:r w:rsidRPr="00F40C9B">
        <w:rPr>
          <w:b/>
          <w:i/>
          <w:color w:val="5B9BD5" w:themeColor="accent1"/>
        </w:rPr>
        <w:t xml:space="preserve">Transportation </w:t>
      </w:r>
      <w:r w:rsidR="00001831" w:rsidRPr="00F40C9B">
        <w:rPr>
          <w:b/>
          <w:i/>
          <w:color w:val="5B9BD5" w:themeColor="accent1"/>
        </w:rPr>
        <w:t>and Distribution</w:t>
      </w:r>
    </w:p>
    <w:p w14:paraId="64944394" w14:textId="77777777" w:rsidR="00001831" w:rsidRPr="00F40C9B" w:rsidRDefault="00001831" w:rsidP="00F40C9B">
      <w:pPr>
        <w:spacing w:after="0"/>
        <w:ind w:left="720"/>
        <w:jc w:val="both"/>
        <w:rPr>
          <w:b/>
          <w:i/>
          <w:color w:val="5B9BD5" w:themeColor="accent1"/>
        </w:rPr>
      </w:pPr>
    </w:p>
    <w:p w14:paraId="35E2B465" w14:textId="5DA16E01" w:rsidR="0093747F" w:rsidRPr="00F40C9B" w:rsidRDefault="00001831" w:rsidP="00F40C9B">
      <w:pPr>
        <w:spacing w:after="0"/>
        <w:ind w:left="720"/>
        <w:jc w:val="both"/>
        <w:rPr>
          <w:i/>
          <w:color w:val="5B9BD5" w:themeColor="accent1"/>
        </w:rPr>
      </w:pPr>
      <w:r w:rsidRPr="00F40C9B">
        <w:rPr>
          <w:i/>
          <w:color w:val="5B9BD5" w:themeColor="accent1"/>
        </w:rPr>
        <w:t xml:space="preserve">NAC 453A.416 sets forth the requirements when transporting medical marijuana. </w:t>
      </w:r>
    </w:p>
    <w:p w14:paraId="574C2685" w14:textId="15060770" w:rsidR="00001831" w:rsidRPr="00F40C9B" w:rsidRDefault="006D6DDC" w:rsidP="00F40C9B">
      <w:pPr>
        <w:spacing w:after="0"/>
        <w:ind w:left="720"/>
        <w:jc w:val="both"/>
        <w:rPr>
          <w:i/>
          <w:color w:val="5B9BD5" w:themeColor="accent1"/>
        </w:rPr>
      </w:pPr>
      <w:r w:rsidRPr="00F40C9B">
        <w:rPr>
          <w:i/>
          <w:color w:val="5B9BD5" w:themeColor="accent1"/>
        </w:rPr>
        <w:t xml:space="preserve">This section needs to be revised to allow delivery from a marijuana dispensary to persons over 21 years of age.  The regulation should be revised to require verification of the customer’s age, but no other information should be required or documented, other than for consensual marketing purposes. </w:t>
      </w:r>
      <w:r w:rsidR="00001831" w:rsidRPr="00F40C9B">
        <w:rPr>
          <w:i/>
          <w:color w:val="5B9BD5" w:themeColor="accent1"/>
        </w:rPr>
        <w:t xml:space="preserve"> </w:t>
      </w:r>
    </w:p>
    <w:p w14:paraId="6AB01100" w14:textId="77777777" w:rsidR="00F6256A" w:rsidRPr="00F40C9B" w:rsidRDefault="00F6256A" w:rsidP="00F40C9B">
      <w:pPr>
        <w:spacing w:after="0"/>
        <w:ind w:left="720"/>
        <w:jc w:val="both"/>
        <w:rPr>
          <w:i/>
          <w:color w:val="5B9BD5" w:themeColor="accent1"/>
        </w:rPr>
      </w:pPr>
    </w:p>
    <w:p w14:paraId="481FE909" w14:textId="460FC9F6" w:rsidR="00F6256A" w:rsidRPr="00F40C9B" w:rsidRDefault="00F6256A" w:rsidP="00F40C9B">
      <w:pPr>
        <w:pStyle w:val="ListParagraph"/>
        <w:numPr>
          <w:ilvl w:val="0"/>
          <w:numId w:val="3"/>
        </w:numPr>
        <w:spacing w:after="0"/>
        <w:ind w:left="720" w:firstLine="0"/>
        <w:jc w:val="both"/>
        <w:rPr>
          <w:b/>
          <w:i/>
          <w:color w:val="5B9BD5" w:themeColor="accent1"/>
        </w:rPr>
      </w:pPr>
      <w:r w:rsidRPr="00F40C9B">
        <w:rPr>
          <w:b/>
          <w:i/>
          <w:color w:val="5B9BD5" w:themeColor="accent1"/>
        </w:rPr>
        <w:t>Training</w:t>
      </w:r>
    </w:p>
    <w:p w14:paraId="3B0FB941" w14:textId="77777777" w:rsidR="0093747F" w:rsidRPr="00F40C9B" w:rsidRDefault="0093747F" w:rsidP="00F40C9B">
      <w:pPr>
        <w:pStyle w:val="ListParagraph"/>
        <w:spacing w:after="0"/>
        <w:jc w:val="both"/>
        <w:rPr>
          <w:i/>
          <w:color w:val="5B9BD5" w:themeColor="accent1"/>
        </w:rPr>
      </w:pPr>
      <w:r w:rsidRPr="00F40C9B">
        <w:rPr>
          <w:i/>
          <w:color w:val="5B9BD5" w:themeColor="accent1"/>
        </w:rPr>
        <w:t xml:space="preserve">Training is currently addressed under NAC </w:t>
      </w:r>
      <w:r w:rsidR="00AA4446" w:rsidRPr="00F40C9B">
        <w:rPr>
          <w:i/>
          <w:color w:val="5B9BD5" w:themeColor="accent1"/>
        </w:rPr>
        <w:t>453A.336</w:t>
      </w:r>
      <w:r w:rsidRPr="00F40C9B">
        <w:rPr>
          <w:i/>
          <w:color w:val="5B9BD5" w:themeColor="accent1"/>
        </w:rPr>
        <w:t xml:space="preserve">.  The same training should be required </w:t>
      </w:r>
    </w:p>
    <w:p w14:paraId="6AB16114" w14:textId="161ED316" w:rsidR="00AA4446" w:rsidRPr="00F40C9B" w:rsidRDefault="0093747F" w:rsidP="00F40C9B">
      <w:pPr>
        <w:spacing w:after="0"/>
        <w:ind w:left="720"/>
        <w:jc w:val="both"/>
        <w:rPr>
          <w:i/>
          <w:color w:val="5B9BD5" w:themeColor="accent1"/>
        </w:rPr>
      </w:pPr>
      <w:proofErr w:type="gramStart"/>
      <w:r w:rsidRPr="00F40C9B">
        <w:rPr>
          <w:i/>
          <w:color w:val="5B9BD5" w:themeColor="accent1"/>
        </w:rPr>
        <w:t>under</w:t>
      </w:r>
      <w:proofErr w:type="gramEnd"/>
      <w:r w:rsidRPr="00F40C9B">
        <w:rPr>
          <w:i/>
          <w:color w:val="5B9BD5" w:themeColor="accent1"/>
        </w:rPr>
        <w:t xml:space="preserve"> NAC 453, but should be expanded.  Further training requirements will be proposed in a separate recommendation. </w:t>
      </w:r>
    </w:p>
    <w:p w14:paraId="7F890F61" w14:textId="77777777" w:rsidR="00F6256A" w:rsidRPr="00F40C9B" w:rsidRDefault="00F6256A" w:rsidP="00F40C9B">
      <w:pPr>
        <w:spacing w:after="0"/>
        <w:ind w:left="720"/>
        <w:rPr>
          <w:i/>
          <w:color w:val="5B9BD5" w:themeColor="accent1"/>
        </w:rPr>
      </w:pPr>
    </w:p>
    <w:p w14:paraId="4A3730F6" w14:textId="77777777" w:rsidR="00E9081E" w:rsidRPr="00F40C9B" w:rsidRDefault="00E9081E" w:rsidP="00F40C9B">
      <w:pPr>
        <w:spacing w:after="0"/>
        <w:ind w:left="720"/>
        <w:rPr>
          <w:i/>
          <w:color w:val="5B9BD5" w:themeColor="accent1"/>
        </w:rPr>
      </w:pPr>
    </w:p>
    <w:p w14:paraId="425E2003" w14:textId="2FCD5F2E" w:rsidR="00E9081E" w:rsidRDefault="00DC4C91" w:rsidP="00F40C9B">
      <w:pPr>
        <w:pStyle w:val="ListParagraph"/>
        <w:numPr>
          <w:ilvl w:val="0"/>
          <w:numId w:val="1"/>
        </w:numPr>
        <w:spacing w:after="0"/>
      </w:pPr>
      <w:r w:rsidRPr="00F40C9B">
        <w:t>Which guiding p</w:t>
      </w:r>
      <w:r w:rsidR="00E9081E" w:rsidRPr="00F40C9B">
        <w:t>rinciple(s) does this recommendation support?</w:t>
      </w:r>
    </w:p>
    <w:p w14:paraId="52F96B33" w14:textId="77777777" w:rsidR="00F40C9B" w:rsidRPr="00F40C9B" w:rsidRDefault="00F40C9B" w:rsidP="00F40C9B">
      <w:pPr>
        <w:pStyle w:val="ListParagraph"/>
        <w:spacing w:after="0"/>
      </w:pPr>
    </w:p>
    <w:p w14:paraId="78239871" w14:textId="67BE1E05" w:rsidR="00AF130E" w:rsidRPr="00F40C9B" w:rsidRDefault="0099209B" w:rsidP="00F40C9B">
      <w:pPr>
        <w:spacing w:after="0"/>
        <w:ind w:left="720"/>
        <w:rPr>
          <w:i/>
          <w:color w:val="5B9BD5" w:themeColor="accent1"/>
        </w:rPr>
      </w:pPr>
      <w:r w:rsidRPr="00F40C9B">
        <w:rPr>
          <w:i/>
          <w:color w:val="5B9BD5" w:themeColor="accent1"/>
        </w:rPr>
        <w:t>This recommendation</w:t>
      </w:r>
      <w:r w:rsidR="00783B58" w:rsidRPr="00F40C9B">
        <w:rPr>
          <w:i/>
          <w:color w:val="5B9BD5" w:themeColor="accent1"/>
        </w:rPr>
        <w:t xml:space="preserve"> promote</w:t>
      </w:r>
      <w:r w:rsidRPr="00F40C9B">
        <w:rPr>
          <w:i/>
          <w:color w:val="5B9BD5" w:themeColor="accent1"/>
        </w:rPr>
        <w:t>s</w:t>
      </w:r>
      <w:r w:rsidR="00783B58" w:rsidRPr="00F40C9B">
        <w:rPr>
          <w:i/>
          <w:color w:val="5B9BD5" w:themeColor="accent1"/>
        </w:rPr>
        <w:t xml:space="preserve"> efficient a</w:t>
      </w:r>
      <w:r w:rsidR="00AF130E" w:rsidRPr="00F40C9B">
        <w:rPr>
          <w:i/>
          <w:color w:val="5B9BD5" w:themeColor="accent1"/>
        </w:rPr>
        <w:t>nd effective regulations that are</w:t>
      </w:r>
      <w:r w:rsidR="00783B58" w:rsidRPr="00F40C9B">
        <w:rPr>
          <w:i/>
          <w:color w:val="5B9BD5" w:themeColor="accent1"/>
        </w:rPr>
        <w:t xml:space="preserve"> clear and reasonable and not unduly burdensome. </w:t>
      </w:r>
    </w:p>
    <w:p w14:paraId="22D22217" w14:textId="77777777" w:rsidR="00F40C9B" w:rsidRPr="00F40C9B" w:rsidRDefault="00F40C9B" w:rsidP="00F40C9B">
      <w:pPr>
        <w:spacing w:after="0"/>
        <w:ind w:left="720"/>
        <w:rPr>
          <w:i/>
          <w:color w:val="5B9BD5" w:themeColor="accent1"/>
        </w:rPr>
      </w:pPr>
    </w:p>
    <w:p w14:paraId="67FE160D" w14:textId="77777777" w:rsidR="00E9081E" w:rsidRPr="00F40C9B" w:rsidRDefault="00E9081E" w:rsidP="00F40C9B">
      <w:pPr>
        <w:pStyle w:val="ListParagraph"/>
        <w:numPr>
          <w:ilvl w:val="0"/>
          <w:numId w:val="1"/>
        </w:numPr>
        <w:spacing w:after="0"/>
      </w:pPr>
      <w:r w:rsidRPr="00F40C9B">
        <w:t xml:space="preserve">What provision(s) of Question 2 does this recommendation apply to?  </w:t>
      </w:r>
    </w:p>
    <w:p w14:paraId="19A0DD99" w14:textId="4475A389" w:rsidR="00E9081E" w:rsidRPr="00F40C9B" w:rsidRDefault="00A8431A" w:rsidP="00F40C9B">
      <w:pPr>
        <w:spacing w:after="0"/>
        <w:ind w:left="720"/>
        <w:rPr>
          <w:i/>
          <w:color w:val="5B9BD5" w:themeColor="accent1"/>
        </w:rPr>
      </w:pPr>
      <w:r w:rsidRPr="00F40C9B">
        <w:rPr>
          <w:i/>
          <w:color w:val="5B9BD5" w:themeColor="accent1"/>
        </w:rPr>
        <w:t xml:space="preserve">This recommendation applies to Initiative Petition 1 (“IP1”), Section 5, which </w:t>
      </w:r>
      <w:r w:rsidR="00347B53" w:rsidRPr="00F40C9B">
        <w:rPr>
          <w:i/>
          <w:color w:val="5B9BD5" w:themeColor="accent1"/>
        </w:rPr>
        <w:t>vests</w:t>
      </w:r>
      <w:r w:rsidRPr="00F40C9B">
        <w:rPr>
          <w:i/>
          <w:color w:val="5B9BD5" w:themeColor="accent1"/>
        </w:rPr>
        <w:t xml:space="preserve"> the responsibility for regulating recreational marijuana in the Department of Taxation</w:t>
      </w:r>
      <w:r w:rsidR="00783B58" w:rsidRPr="00F40C9B">
        <w:rPr>
          <w:i/>
          <w:color w:val="5B9BD5" w:themeColor="accent1"/>
        </w:rPr>
        <w:t xml:space="preserve"> and allows for a “dual license”</w:t>
      </w:r>
      <w:r w:rsidR="00AF130E" w:rsidRPr="00F40C9B">
        <w:rPr>
          <w:i/>
          <w:color w:val="5B9BD5" w:themeColor="accent1"/>
        </w:rPr>
        <w:t xml:space="preserve"> of retail and medical establishments.</w:t>
      </w:r>
      <w:r w:rsidRPr="00F40C9B">
        <w:rPr>
          <w:i/>
          <w:color w:val="5B9BD5" w:themeColor="accent1"/>
        </w:rPr>
        <w:t xml:space="preserve"> </w:t>
      </w:r>
    </w:p>
    <w:p w14:paraId="6C85577C" w14:textId="77777777" w:rsidR="00E9081E" w:rsidRPr="00F40C9B" w:rsidRDefault="00E9081E" w:rsidP="00F40C9B">
      <w:pPr>
        <w:spacing w:after="0"/>
        <w:ind w:left="720"/>
        <w:rPr>
          <w:i/>
          <w:color w:val="5B9BD5" w:themeColor="accent1"/>
        </w:rPr>
      </w:pPr>
    </w:p>
    <w:p w14:paraId="527A1772" w14:textId="77777777" w:rsidR="007A4A8C" w:rsidRPr="003110FB" w:rsidRDefault="00E9081E" w:rsidP="00E9081E">
      <w:pPr>
        <w:pStyle w:val="ListParagraph"/>
        <w:numPr>
          <w:ilvl w:val="0"/>
          <w:numId w:val="1"/>
        </w:numPr>
        <w:spacing w:after="0"/>
      </w:pPr>
      <w:r w:rsidRPr="003110FB">
        <w:lastRenderedPageBreak/>
        <w:t>What issue(s) does the recommendation resolve?</w:t>
      </w:r>
    </w:p>
    <w:p w14:paraId="1B327355" w14:textId="77777777" w:rsidR="008924A8" w:rsidRDefault="008924A8" w:rsidP="005C5D7F">
      <w:pPr>
        <w:spacing w:after="0"/>
        <w:ind w:left="360"/>
      </w:pPr>
    </w:p>
    <w:p w14:paraId="5C6BCCA4" w14:textId="6186853C" w:rsidR="001B0ADC" w:rsidRPr="00F40C9B" w:rsidRDefault="0099209B" w:rsidP="00F40C9B">
      <w:pPr>
        <w:spacing w:after="0"/>
        <w:ind w:left="720"/>
        <w:rPr>
          <w:i/>
          <w:color w:val="5B9BD5" w:themeColor="accent1"/>
        </w:rPr>
      </w:pPr>
      <w:r w:rsidRPr="00F40C9B">
        <w:rPr>
          <w:i/>
          <w:color w:val="5B9BD5" w:themeColor="accent1"/>
        </w:rPr>
        <w:t xml:space="preserve">The sponsor </w:t>
      </w:r>
      <w:r w:rsidR="00CC0A14" w:rsidRPr="00F40C9B">
        <w:rPr>
          <w:i/>
          <w:color w:val="5B9BD5" w:themeColor="accent1"/>
        </w:rPr>
        <w:t>of this recommendation and leaders in the medical marijuana industry, including legislators and regulators, strongly recommend that the Department adopt the medical m</w:t>
      </w:r>
      <w:r w:rsidRPr="00F40C9B">
        <w:rPr>
          <w:i/>
          <w:color w:val="5B9BD5" w:themeColor="accent1"/>
        </w:rPr>
        <w:t xml:space="preserve">arijuana regulations to regulate the retail marijuana market, with specific exceptions and adaptations. </w:t>
      </w:r>
      <w:r w:rsidR="00CC0A14" w:rsidRPr="00F40C9B">
        <w:rPr>
          <w:i/>
          <w:color w:val="5B9BD5" w:themeColor="accent1"/>
        </w:rPr>
        <w:t xml:space="preserve">The medical marijuana regulations lead the nation in testing, tracking, safety, etc. However, not all of </w:t>
      </w:r>
      <w:r w:rsidRPr="00F40C9B">
        <w:rPr>
          <w:i/>
          <w:color w:val="5B9BD5" w:themeColor="accent1"/>
        </w:rPr>
        <w:t>the current regulations</w:t>
      </w:r>
      <w:r w:rsidR="00CC0A14" w:rsidRPr="00F40C9B">
        <w:rPr>
          <w:i/>
          <w:color w:val="5B9BD5" w:themeColor="accent1"/>
        </w:rPr>
        <w:t xml:space="preserve"> are compatible or consistent with IP1 and thus some must be revised to comport with IP1.  The regulations that pertain to dispensaries that must be revised to comport with IP1 are addressed above. </w:t>
      </w:r>
    </w:p>
    <w:p w14:paraId="1377ECA8" w14:textId="77777777" w:rsidR="001B0ADC" w:rsidRPr="003110FB" w:rsidRDefault="001B0ADC" w:rsidP="001B0ADC">
      <w:pPr>
        <w:spacing w:after="0"/>
      </w:pPr>
    </w:p>
    <w:p w14:paraId="7ABEA5B8" w14:textId="77777777" w:rsidR="001B0ADC" w:rsidRPr="003110FB" w:rsidRDefault="001B0ADC" w:rsidP="001B0ADC">
      <w:pPr>
        <w:spacing w:after="0"/>
      </w:pPr>
    </w:p>
    <w:p w14:paraId="00B231A2" w14:textId="77777777" w:rsidR="0099209B" w:rsidRDefault="001B0ADC" w:rsidP="00E9081E">
      <w:pPr>
        <w:pStyle w:val="ListParagraph"/>
        <w:numPr>
          <w:ilvl w:val="0"/>
          <w:numId w:val="1"/>
        </w:numPr>
        <w:spacing w:after="0"/>
      </w:pPr>
      <w:r w:rsidRPr="003110FB">
        <w:t xml:space="preserve">Was there dissent in the group regarding this recommendation?  If yes, please provide a </w:t>
      </w:r>
    </w:p>
    <w:p w14:paraId="30E263BB" w14:textId="12961E08" w:rsidR="00E9081E" w:rsidRDefault="00A70715" w:rsidP="00A70715">
      <w:pPr>
        <w:tabs>
          <w:tab w:val="left" w:pos="720"/>
        </w:tabs>
        <w:spacing w:after="0"/>
        <w:ind w:left="720" w:hanging="360"/>
      </w:pPr>
      <w:r>
        <w:t xml:space="preserve">        </w:t>
      </w:r>
      <w:proofErr w:type="gramStart"/>
      <w:r w:rsidR="001B0ADC" w:rsidRPr="003110FB">
        <w:t>summary</w:t>
      </w:r>
      <w:proofErr w:type="gramEnd"/>
      <w:r w:rsidR="001B0ADC" w:rsidRPr="003110FB">
        <w:t xml:space="preserve"> of the dissenting opinion regarding the recommendation.</w:t>
      </w:r>
    </w:p>
    <w:p w14:paraId="386F26DB" w14:textId="77777777" w:rsidR="008924A8" w:rsidRPr="003110FB" w:rsidRDefault="008924A8" w:rsidP="00AF130E">
      <w:pPr>
        <w:pStyle w:val="ListParagraph"/>
        <w:spacing w:after="0"/>
      </w:pPr>
    </w:p>
    <w:p w14:paraId="7818C550" w14:textId="2E94D2A8" w:rsidR="00E9081E" w:rsidRPr="00A70715" w:rsidRDefault="00CC0A14" w:rsidP="00A70715">
      <w:pPr>
        <w:spacing w:after="0"/>
        <w:ind w:left="720"/>
        <w:rPr>
          <w:i/>
          <w:color w:val="5B9BD5" w:themeColor="accent1"/>
        </w:rPr>
      </w:pPr>
      <w:r w:rsidRPr="00A70715">
        <w:rPr>
          <w:i/>
          <w:color w:val="5B9BD5" w:themeColor="accent1"/>
        </w:rPr>
        <w:t>No</w:t>
      </w:r>
    </w:p>
    <w:p w14:paraId="3588FBE3" w14:textId="77777777" w:rsidR="00E9081E" w:rsidRDefault="00E9081E" w:rsidP="00E9081E">
      <w:pPr>
        <w:spacing w:after="0"/>
      </w:pPr>
    </w:p>
    <w:p w14:paraId="797F3A33" w14:textId="77777777" w:rsidR="008924A8" w:rsidRPr="003110FB" w:rsidRDefault="008924A8" w:rsidP="00E9081E">
      <w:pPr>
        <w:spacing w:after="0"/>
      </w:pPr>
    </w:p>
    <w:p w14:paraId="6333FE17" w14:textId="77777777" w:rsidR="00E9081E" w:rsidRPr="003110FB" w:rsidRDefault="00E9081E" w:rsidP="007A4A8C">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CA7B542" w14:textId="77777777" w:rsidR="00E9081E" w:rsidRPr="003110FB" w:rsidRDefault="00E9081E" w:rsidP="00E9081E">
      <w:pPr>
        <w:pStyle w:val="ListParagraph"/>
        <w:spacing w:after="0"/>
      </w:pPr>
    </w:p>
    <w:p w14:paraId="28E19D50" w14:textId="5089236F" w:rsidR="00E9081E" w:rsidRPr="00A70715" w:rsidRDefault="00CC0A14" w:rsidP="00A70715">
      <w:pPr>
        <w:spacing w:after="0"/>
        <w:ind w:left="720"/>
        <w:rPr>
          <w:i/>
          <w:color w:val="5B9BD5" w:themeColor="accent1"/>
        </w:rPr>
      </w:pPr>
      <w:r w:rsidRPr="00A70715">
        <w:rPr>
          <w:i/>
          <w:color w:val="5B9BD5" w:themeColor="accent1"/>
        </w:rPr>
        <w:t>The Department will need to promulgate regulations pertaining to the retail marijuana program, as mandated by IP1</w:t>
      </w:r>
      <w:r w:rsidR="00E818ED" w:rsidRPr="00A70715">
        <w:rPr>
          <w:i/>
          <w:color w:val="5B9BD5" w:themeColor="accent1"/>
        </w:rPr>
        <w:t>.</w:t>
      </w:r>
      <w:r w:rsidRPr="00A70715">
        <w:rPr>
          <w:i/>
          <w:color w:val="5B9BD5" w:themeColor="accent1"/>
        </w:rPr>
        <w:t xml:space="preserve">  The Department should adopt the same regulations that apply to the medical marijuana, with specific exceptions.  The exceptions that apply to di</w:t>
      </w:r>
      <w:r w:rsidR="00DD33C8" w:rsidRPr="00A70715">
        <w:rPr>
          <w:i/>
          <w:color w:val="5B9BD5" w:themeColor="accent1"/>
        </w:rPr>
        <w:t xml:space="preserve">spensaries are discussed above.  </w:t>
      </w:r>
    </w:p>
    <w:p w14:paraId="6E62C578" w14:textId="77777777" w:rsidR="00E9081E" w:rsidRPr="003110FB" w:rsidRDefault="00E9081E" w:rsidP="00E9081E">
      <w:pPr>
        <w:pStyle w:val="ListParagraph"/>
        <w:spacing w:after="0"/>
      </w:pPr>
    </w:p>
    <w:p w14:paraId="1EC95596" w14:textId="7858F08D" w:rsidR="00DD1A10" w:rsidRPr="003110FB" w:rsidRDefault="00CC30A8" w:rsidP="007A4A8C">
      <w:pPr>
        <w:pStyle w:val="ListParagraph"/>
        <w:numPr>
          <w:ilvl w:val="0"/>
          <w:numId w:val="1"/>
        </w:numPr>
        <w:spacing w:after="0"/>
      </w:pPr>
      <w:r w:rsidRPr="003110FB">
        <w:t xml:space="preserve">Additional information (cost of implementation, priority according to the recommendations, </w:t>
      </w:r>
      <w:proofErr w:type="spellStart"/>
      <w:r w:rsidRPr="003110FB">
        <w:t>etc</w:t>
      </w:r>
      <w:proofErr w:type="spellEnd"/>
      <w:r w:rsidRPr="003110FB">
        <w:t>)</w:t>
      </w:r>
      <w:r w:rsidR="00B70E4E" w:rsidRPr="003110FB">
        <w:t>.</w:t>
      </w:r>
    </w:p>
    <w:p w14:paraId="6BBB2368" w14:textId="77777777" w:rsidR="00753FA6" w:rsidRDefault="00753FA6" w:rsidP="007A4A8C">
      <w:pPr>
        <w:spacing w:after="0"/>
      </w:pPr>
    </w:p>
    <w:p w14:paraId="4AF76DCE" w14:textId="20DF7BEF" w:rsidR="00A70715" w:rsidRPr="00A70715" w:rsidRDefault="00A70715" w:rsidP="00A70715">
      <w:pPr>
        <w:spacing w:after="0"/>
        <w:ind w:left="720"/>
        <w:rPr>
          <w:i/>
          <w:color w:val="5B9BD5" w:themeColor="accent1"/>
        </w:rPr>
      </w:pPr>
      <w:r w:rsidRPr="00A70715">
        <w:rPr>
          <w:i/>
          <w:color w:val="5B9BD5" w:themeColor="accent1"/>
        </w:rPr>
        <w:t>Not known</w:t>
      </w:r>
    </w:p>
    <w:p w14:paraId="113C4C49" w14:textId="77777777" w:rsidR="00A70715" w:rsidRDefault="00A70715" w:rsidP="007A4A8C">
      <w:pPr>
        <w:spacing w:after="0"/>
      </w:pPr>
    </w:p>
    <w:p w14:paraId="514734D5" w14:textId="77777777" w:rsidR="00A70715" w:rsidRDefault="00A70715" w:rsidP="007A4A8C">
      <w:pPr>
        <w:spacing w:after="0"/>
      </w:pPr>
    </w:p>
    <w:p w14:paraId="33C29E94" w14:textId="77777777" w:rsidR="00A70715" w:rsidRDefault="00A70715" w:rsidP="007A4A8C">
      <w:pPr>
        <w:spacing w:after="0"/>
      </w:pPr>
    </w:p>
    <w:p w14:paraId="4C4A6D61" w14:textId="77777777" w:rsidR="00A70715" w:rsidRDefault="00A70715" w:rsidP="007A4A8C">
      <w:pPr>
        <w:spacing w:after="0"/>
      </w:pPr>
    </w:p>
    <w:p w14:paraId="5E53055E" w14:textId="77777777" w:rsidR="00A70715" w:rsidRDefault="00A70715" w:rsidP="007A4A8C">
      <w:pPr>
        <w:spacing w:after="0"/>
      </w:pPr>
    </w:p>
    <w:p w14:paraId="3201CCE7" w14:textId="77777777" w:rsidR="00A70715" w:rsidRDefault="00A70715" w:rsidP="007A4A8C">
      <w:pPr>
        <w:spacing w:after="0"/>
      </w:pPr>
    </w:p>
    <w:p w14:paraId="0A1E8706" w14:textId="77777777" w:rsidR="00A70715" w:rsidRDefault="00A70715" w:rsidP="007A4A8C">
      <w:pPr>
        <w:spacing w:after="0"/>
      </w:pPr>
    </w:p>
    <w:p w14:paraId="502EA122" w14:textId="77777777" w:rsidR="00A70715" w:rsidRDefault="00A70715" w:rsidP="007A4A8C">
      <w:pPr>
        <w:spacing w:after="0"/>
      </w:pPr>
    </w:p>
    <w:p w14:paraId="27E878C8" w14:textId="77777777" w:rsidR="00A70715" w:rsidRDefault="00A70715" w:rsidP="007A4A8C">
      <w:pPr>
        <w:spacing w:after="0"/>
      </w:pPr>
    </w:p>
    <w:p w14:paraId="1C6E6BEC" w14:textId="77777777" w:rsidR="00A70715" w:rsidRDefault="00A70715" w:rsidP="007A4A8C">
      <w:pPr>
        <w:spacing w:after="0"/>
      </w:pPr>
    </w:p>
    <w:p w14:paraId="532EF95A" w14:textId="77777777" w:rsidR="00A70715" w:rsidRDefault="00A70715" w:rsidP="007A4A8C">
      <w:pPr>
        <w:spacing w:after="0"/>
      </w:pPr>
    </w:p>
    <w:p w14:paraId="4C20C983" w14:textId="77777777" w:rsidR="00A70715" w:rsidRPr="003110FB" w:rsidRDefault="00A70715" w:rsidP="007A4A8C">
      <w:pPr>
        <w:spacing w:after="0"/>
      </w:pPr>
    </w:p>
    <w:p w14:paraId="071157DF" w14:textId="77777777" w:rsidR="00CC30A8" w:rsidRPr="003110FB" w:rsidRDefault="00CC30A8" w:rsidP="007A4A8C">
      <w:pPr>
        <w:spacing w:after="0"/>
      </w:pPr>
    </w:p>
    <w:p w14:paraId="054A4F76" w14:textId="40064672" w:rsidR="00753FA6" w:rsidRPr="00753FA6" w:rsidRDefault="00753FA6" w:rsidP="009201F4">
      <w:pPr>
        <w:spacing w:after="0"/>
        <w:ind w:left="810" w:hanging="90"/>
        <w:rPr>
          <w:b/>
          <w:sz w:val="18"/>
          <w:szCs w:val="18"/>
        </w:rPr>
      </w:pPr>
      <w:r w:rsidRPr="003110FB">
        <w:rPr>
          <w:sz w:val="18"/>
          <w:szCs w:val="18"/>
        </w:rPr>
        <w:t>*Submit to</w:t>
      </w:r>
      <w:r w:rsidRPr="00753FA6">
        <w:rPr>
          <w:b/>
          <w:sz w:val="18"/>
          <w:szCs w:val="18"/>
        </w:rPr>
        <w:t xml:space="preserve"> </w:t>
      </w:r>
      <w:hyperlink r:id="rId8" w:history="1">
        <w:r w:rsidRPr="00753FA6">
          <w:rPr>
            <w:rStyle w:val="Hyperlink"/>
            <w:b/>
            <w:sz w:val="18"/>
            <w:szCs w:val="18"/>
          </w:rPr>
          <w:t>kelly@quantummark.com</w:t>
        </w:r>
      </w:hyperlink>
      <w:r w:rsidRPr="00753FA6">
        <w:rPr>
          <w:b/>
          <w:sz w:val="18"/>
          <w:szCs w:val="18"/>
        </w:rPr>
        <w:t xml:space="preserve"> </w:t>
      </w:r>
      <w:r w:rsidR="001B10FF" w:rsidRPr="003110FB">
        <w:rPr>
          <w:sz w:val="18"/>
          <w:szCs w:val="18"/>
        </w:rPr>
        <w:t>and</w:t>
      </w:r>
      <w:r w:rsidR="001B10FF">
        <w:rPr>
          <w:b/>
          <w:sz w:val="18"/>
          <w:szCs w:val="18"/>
        </w:rPr>
        <w:t xml:space="preserve"> </w:t>
      </w:r>
      <w:hyperlink r:id="rId9" w:history="1">
        <w:r w:rsidR="001B10FF" w:rsidRPr="00EB7809">
          <w:rPr>
            <w:rStyle w:val="Hyperlink"/>
            <w:b/>
            <w:sz w:val="18"/>
            <w:szCs w:val="18"/>
          </w:rPr>
          <w:t>mkretch@quantummark.com</w:t>
        </w:r>
      </w:hyperlink>
      <w:r w:rsidR="001B10FF">
        <w:rPr>
          <w:b/>
          <w:sz w:val="18"/>
          <w:szCs w:val="18"/>
        </w:rPr>
        <w:t xml:space="preserve"> </w:t>
      </w:r>
      <w:r w:rsidRPr="003110FB">
        <w:rPr>
          <w:sz w:val="18"/>
          <w:szCs w:val="18"/>
        </w:rPr>
        <w:t xml:space="preserve">when completed and ready for presentation to the </w:t>
      </w:r>
      <w:r w:rsidR="00AB71F7">
        <w:rPr>
          <w:sz w:val="18"/>
          <w:szCs w:val="18"/>
        </w:rPr>
        <w:t>Task Force</w:t>
      </w:r>
    </w:p>
    <w:sectPr w:rsidR="00753FA6" w:rsidRPr="00753FA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390E8" w14:textId="77777777" w:rsidR="00F0171C" w:rsidRDefault="00F0171C" w:rsidP="00391997">
      <w:pPr>
        <w:spacing w:after="0" w:line="240" w:lineRule="auto"/>
      </w:pPr>
      <w:r>
        <w:separator/>
      </w:r>
    </w:p>
  </w:endnote>
  <w:endnote w:type="continuationSeparator" w:id="0">
    <w:p w14:paraId="037B23C6" w14:textId="77777777" w:rsidR="00F0171C" w:rsidRDefault="00F0171C"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3CBC861D" w:rsidR="00447ED7" w:rsidRPr="00F43822" w:rsidRDefault="00447ED7"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9D1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" o:allowincell="f" strokecolor="navy" strokeweight="1pt"/>
          </w:pict>
        </mc:Fallback>
      </mc:AlternateContent>
    </w:r>
    <w:r w:rsidR="004E743F">
      <w:rPr>
        <w:rFonts w:ascii="Calibri" w:eastAsia="Times New Roman" w:hAnsi="Calibri" w:cs="Times New Roman"/>
        <w:b/>
        <w:i/>
        <w:color w:val="3737A5"/>
        <w:sz w:val="16"/>
        <w:szCs w:val="16"/>
      </w:rPr>
      <w:t>Retail Regulations v.2 -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4E743F">
      <w:rPr>
        <w:rFonts w:ascii="Calibri" w:eastAsia="Times New Roman" w:hAnsi="Calibri" w:cs="Times New Roman"/>
        <w:bCs/>
        <w:i/>
        <w:color w:val="3737A5"/>
        <w:sz w:val="16"/>
        <w:szCs w:val="16"/>
      </w:rPr>
      <w:t>April</w:t>
    </w:r>
    <w:r>
      <w:rPr>
        <w:rFonts w:ascii="Calibri" w:eastAsia="Times New Roman" w:hAnsi="Calibri" w:cs="Times New Roman"/>
        <w:bCs/>
        <w:i/>
        <w:color w:val="3737A5"/>
        <w:sz w:val="16"/>
        <w:szCs w:val="16"/>
      </w:rPr>
      <w:t xml:space="preserve"> 1</w:t>
    </w:r>
    <w:r w:rsidR="004E743F">
      <w:rPr>
        <w:rFonts w:ascii="Calibri" w:eastAsia="Times New Roman" w:hAnsi="Calibri" w:cs="Times New Roman"/>
        <w:bCs/>
        <w:i/>
        <w:color w:val="3737A5"/>
        <w:sz w:val="16"/>
        <w:szCs w:val="16"/>
      </w:rPr>
      <w:t>4</w:t>
    </w:r>
    <w:r>
      <w:rPr>
        <w:rFonts w:ascii="Calibri" w:eastAsia="Times New Roman" w:hAnsi="Calibri" w:cs="Times New Roman"/>
        <w:bCs/>
        <w:i/>
        <w:color w:val="3737A5"/>
        <w:sz w:val="16"/>
        <w:szCs w:val="16"/>
      </w:rPr>
      <w:t>, 2017</w:t>
    </w:r>
  </w:p>
  <w:p w14:paraId="3EA83F4C" w14:textId="53E31E85" w:rsidR="00447ED7" w:rsidRPr="00F43822" w:rsidRDefault="00447ED7"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447ED7" w:rsidRDefault="00447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FD3F7" w14:textId="77777777" w:rsidR="00F0171C" w:rsidRDefault="00F0171C" w:rsidP="00391997">
      <w:pPr>
        <w:spacing w:after="0" w:line="240" w:lineRule="auto"/>
      </w:pPr>
      <w:r>
        <w:separator/>
      </w:r>
    </w:p>
  </w:footnote>
  <w:footnote w:type="continuationSeparator" w:id="0">
    <w:p w14:paraId="2DAD879E" w14:textId="77777777" w:rsidR="00F0171C" w:rsidRDefault="00F0171C"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16465548" w:rsidR="00447ED7" w:rsidRPr="00F43822" w:rsidRDefault="00F40C9B" w:rsidP="008313F9">
    <w:pPr>
      <w:pStyle w:val="Heading2"/>
      <w:ind w:left="0"/>
      <w:jc w:val="center"/>
      <w:rPr>
        <w:sz w:val="22"/>
        <w:szCs w:val="22"/>
      </w:rPr>
    </w:pPr>
    <w:r>
      <w:rPr>
        <w:sz w:val="22"/>
        <w:szCs w:val="22"/>
      </w:rPr>
      <w:t>Retail Regulations - Recommendation</w:t>
    </w:r>
  </w:p>
  <w:p w14:paraId="17B7899E" w14:textId="77777777" w:rsidR="00447ED7" w:rsidRDefault="00447ED7"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1062"/>
    <w:multiLevelType w:val="hybridMultilevel"/>
    <w:tmpl w:val="C73A9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23F4F"/>
    <w:multiLevelType w:val="hybridMultilevel"/>
    <w:tmpl w:val="C73A9B6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90BEF"/>
    <w:multiLevelType w:val="hybridMultilevel"/>
    <w:tmpl w:val="1F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1831"/>
    <w:rsid w:val="00002F6E"/>
    <w:rsid w:val="00060468"/>
    <w:rsid w:val="000A61D0"/>
    <w:rsid w:val="000B01A4"/>
    <w:rsid w:val="000B5F15"/>
    <w:rsid w:val="000D1417"/>
    <w:rsid w:val="000F6CB2"/>
    <w:rsid w:val="00101768"/>
    <w:rsid w:val="00114EF2"/>
    <w:rsid w:val="001866F9"/>
    <w:rsid w:val="00187238"/>
    <w:rsid w:val="001A1920"/>
    <w:rsid w:val="001B0ADC"/>
    <w:rsid w:val="001B10FF"/>
    <w:rsid w:val="00202CA3"/>
    <w:rsid w:val="00202E4C"/>
    <w:rsid w:val="00212CEB"/>
    <w:rsid w:val="0023729A"/>
    <w:rsid w:val="00280946"/>
    <w:rsid w:val="003110FB"/>
    <w:rsid w:val="00333D5E"/>
    <w:rsid w:val="00347B53"/>
    <w:rsid w:val="00385ACE"/>
    <w:rsid w:val="00391997"/>
    <w:rsid w:val="003D0C3C"/>
    <w:rsid w:val="003F1A0E"/>
    <w:rsid w:val="004039AB"/>
    <w:rsid w:val="004250F1"/>
    <w:rsid w:val="00435662"/>
    <w:rsid w:val="00442A3F"/>
    <w:rsid w:val="00447ED7"/>
    <w:rsid w:val="00461F17"/>
    <w:rsid w:val="0049432C"/>
    <w:rsid w:val="004A1F2F"/>
    <w:rsid w:val="004D29C1"/>
    <w:rsid w:val="004E1544"/>
    <w:rsid w:val="004E743F"/>
    <w:rsid w:val="00565923"/>
    <w:rsid w:val="0059366C"/>
    <w:rsid w:val="005C5D7F"/>
    <w:rsid w:val="005E102D"/>
    <w:rsid w:val="005F64C1"/>
    <w:rsid w:val="006B0A7E"/>
    <w:rsid w:val="006D4662"/>
    <w:rsid w:val="006D6DDC"/>
    <w:rsid w:val="00700DCA"/>
    <w:rsid w:val="007217A8"/>
    <w:rsid w:val="00734CA0"/>
    <w:rsid w:val="00753FA6"/>
    <w:rsid w:val="007746E2"/>
    <w:rsid w:val="00774894"/>
    <w:rsid w:val="007765FD"/>
    <w:rsid w:val="00783B58"/>
    <w:rsid w:val="007A2CAF"/>
    <w:rsid w:val="007A4A8C"/>
    <w:rsid w:val="008313F9"/>
    <w:rsid w:val="00866516"/>
    <w:rsid w:val="00882C01"/>
    <w:rsid w:val="00882EE9"/>
    <w:rsid w:val="008924A8"/>
    <w:rsid w:val="008D5094"/>
    <w:rsid w:val="008F0634"/>
    <w:rsid w:val="009201F4"/>
    <w:rsid w:val="009264B2"/>
    <w:rsid w:val="0093747F"/>
    <w:rsid w:val="00945097"/>
    <w:rsid w:val="00957E83"/>
    <w:rsid w:val="00961D8A"/>
    <w:rsid w:val="009805E6"/>
    <w:rsid w:val="0099209B"/>
    <w:rsid w:val="00996A51"/>
    <w:rsid w:val="009D1938"/>
    <w:rsid w:val="009F3552"/>
    <w:rsid w:val="00A312E6"/>
    <w:rsid w:val="00A51981"/>
    <w:rsid w:val="00A65F54"/>
    <w:rsid w:val="00A703DF"/>
    <w:rsid w:val="00A70715"/>
    <w:rsid w:val="00A8431A"/>
    <w:rsid w:val="00A97ACD"/>
    <w:rsid w:val="00AA4446"/>
    <w:rsid w:val="00AB71F7"/>
    <w:rsid w:val="00AF130E"/>
    <w:rsid w:val="00AF4C63"/>
    <w:rsid w:val="00B11C15"/>
    <w:rsid w:val="00B70E4E"/>
    <w:rsid w:val="00BC0B03"/>
    <w:rsid w:val="00BC0F10"/>
    <w:rsid w:val="00BF6BBC"/>
    <w:rsid w:val="00C42596"/>
    <w:rsid w:val="00CA11CD"/>
    <w:rsid w:val="00CC0A14"/>
    <w:rsid w:val="00CC30A8"/>
    <w:rsid w:val="00D22E65"/>
    <w:rsid w:val="00D926ED"/>
    <w:rsid w:val="00D92BBB"/>
    <w:rsid w:val="00DA287B"/>
    <w:rsid w:val="00DC4C91"/>
    <w:rsid w:val="00DD1A10"/>
    <w:rsid w:val="00DD33C8"/>
    <w:rsid w:val="00DE0ABD"/>
    <w:rsid w:val="00E0373D"/>
    <w:rsid w:val="00E45CA2"/>
    <w:rsid w:val="00E5183E"/>
    <w:rsid w:val="00E818ED"/>
    <w:rsid w:val="00E9081E"/>
    <w:rsid w:val="00E96CEA"/>
    <w:rsid w:val="00EC03A5"/>
    <w:rsid w:val="00EF5FDA"/>
    <w:rsid w:val="00F0171C"/>
    <w:rsid w:val="00F046BC"/>
    <w:rsid w:val="00F27CF2"/>
    <w:rsid w:val="00F40C9B"/>
    <w:rsid w:val="00F43822"/>
    <w:rsid w:val="00F6256A"/>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2FFE7519-1A0B-4EC7-A61D-FB7ADFFB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quantummar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retch@quantumma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CE28-4598-47BF-BC20-5CA9A280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4</cp:revision>
  <cp:lastPrinted>2017-03-01T23:42:00Z</cp:lastPrinted>
  <dcterms:created xsi:type="dcterms:W3CDTF">2017-04-11T21:38:00Z</dcterms:created>
  <dcterms:modified xsi:type="dcterms:W3CDTF">2017-04-12T22:46:00Z</dcterms:modified>
</cp:coreProperties>
</file>